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95" w:rsidRDefault="00F53495" w:rsidP="00F53495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Physics</w:t>
      </w:r>
    </w:p>
    <w:p w:rsidR="00F53495" w:rsidRDefault="00F53495" w:rsidP="00F53495">
      <w:pPr>
        <w:spacing w:after="0" w:line="240" w:lineRule="auto"/>
        <w:rPr>
          <w:sz w:val="28"/>
          <w:szCs w:val="28"/>
          <w:u w:val="single"/>
        </w:rPr>
      </w:pPr>
    </w:p>
    <w:p w:rsidR="00F53495" w:rsidRDefault="00F53495" w:rsidP="00F534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Scope and Sequence</w:t>
      </w:r>
      <w:r>
        <w:rPr>
          <w:sz w:val="28"/>
          <w:szCs w:val="28"/>
        </w:rPr>
        <w:t>*</w:t>
      </w:r>
    </w:p>
    <w:p w:rsidR="00F53495" w:rsidRDefault="00F53495" w:rsidP="00F53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(*) The following scope and sequence addresses the main concepts and skills to be taught during the course of the school year; however, for a more detailed pacing on what and when skills and concepts will be taught, please refer to the grade level “Pacing Guide.”</w:t>
      </w:r>
    </w:p>
    <w:p w:rsidR="00F53495" w:rsidRDefault="00F53495" w:rsidP="00F53495">
      <w:pPr>
        <w:pStyle w:val="Title"/>
        <w:spacing w:before="0" w:after="0" w:line="240" w:lineRule="auto"/>
        <w:jc w:val="left"/>
        <w:rPr>
          <w:rFonts w:ascii="Calibri" w:eastAsia="Calibri" w:hAnsi="Calibri" w:cs="Calibri"/>
          <w:b w:val="0"/>
          <w:sz w:val="24"/>
          <w:szCs w:val="24"/>
        </w:rPr>
      </w:pP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889"/>
        <w:gridCol w:w="3671"/>
      </w:tblGrid>
      <w:tr w:rsidR="00F53495" w:rsidTr="004745E0">
        <w:trPr>
          <w:trHeight w:val="440"/>
          <w:jc w:val="center"/>
        </w:trPr>
        <w:tc>
          <w:tcPr>
            <w:tcW w:w="10620" w:type="dxa"/>
            <w:gridSpan w:val="3"/>
            <w:vAlign w:val="center"/>
          </w:tcPr>
          <w:p w:rsidR="00F53495" w:rsidRDefault="00F53495" w:rsidP="004745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SCOPE AND SEQUENCE</w:t>
            </w:r>
          </w:p>
        </w:tc>
      </w:tr>
      <w:tr w:rsidR="00F53495" w:rsidTr="004745E0">
        <w:trPr>
          <w:trHeight w:val="44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Unit/Topic/Skill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Time Frame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spacing w:after="0"/>
            </w:pPr>
            <w:r>
              <w:t>Safety and Skills:</w:t>
            </w:r>
          </w:p>
          <w:p w:rsidR="00F53495" w:rsidRDefault="00F53495" w:rsidP="00F534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contextualSpacing/>
              <w:rPr>
                <w:color w:val="000000"/>
              </w:rPr>
            </w:pPr>
            <w:r>
              <w:rPr>
                <w:color w:val="000000"/>
              </w:rPr>
              <w:t>Lab Safety &amp; Equipment</w:t>
            </w:r>
          </w:p>
          <w:p w:rsidR="00F53495" w:rsidRDefault="00F53495" w:rsidP="00F534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contextualSpacing/>
              <w:rPr>
                <w:color w:val="000000"/>
              </w:rPr>
            </w:pPr>
            <w:r>
              <w:rPr>
                <w:color w:val="000000"/>
              </w:rPr>
              <w:t>Measurement &amp; Graphing:</w:t>
            </w:r>
            <w:r>
              <w:rPr>
                <w:color w:val="000000"/>
              </w:rPr>
              <w:br/>
              <w:t>observations (qualitative, quantitative), problem solving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week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Marking period 1</w:t>
            </w: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</w:tcPr>
          <w:p w:rsidR="00F53495" w:rsidRDefault="00F53495" w:rsidP="004745E0">
            <w:pPr>
              <w:spacing w:after="0"/>
            </w:pPr>
            <w:r>
              <w:t>Kinematics:</w:t>
            </w:r>
          </w:p>
          <w:p w:rsidR="00F53495" w:rsidRDefault="00F53495" w:rsidP="00F53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contextualSpacing/>
              <w:rPr>
                <w:color w:val="000000"/>
              </w:rPr>
            </w:pPr>
            <w:r>
              <w:rPr>
                <w:color w:val="000000"/>
              </w:rPr>
              <w:t>Constant Velocity: distance, displacement, velocity, dot diagrams, P-t graph, V-t graph</w:t>
            </w:r>
          </w:p>
          <w:p w:rsidR="00F53495" w:rsidRDefault="00F53495" w:rsidP="00F53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contextualSpacing/>
              <w:rPr>
                <w:color w:val="000000"/>
              </w:rPr>
            </w:pPr>
            <w:r>
              <w:rPr>
                <w:color w:val="000000"/>
              </w:rPr>
              <w:t>Constant Acceleration: acceleration, p-t and v-t and a-t graphs, free fall, kinematics equations</w:t>
            </w:r>
          </w:p>
          <w:p w:rsidR="00F53495" w:rsidRDefault="00F53495" w:rsidP="00F53495">
            <w:pPr>
              <w:numPr>
                <w:ilvl w:val="0"/>
                <w:numId w:val="3"/>
              </w:numPr>
              <w:spacing w:after="0"/>
              <w:ind w:left="160" w:hanging="180"/>
            </w:pPr>
            <w:r>
              <w:t>General Ed: Conceptual introduction to 2D motion (if time)</w:t>
            </w:r>
            <w:r>
              <w:br/>
              <w:t>Honors: 2D motion: vectors, horizontal and angled projectiles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weeks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rPr>
                <w:sz w:val="24"/>
                <w:szCs w:val="24"/>
              </w:rPr>
            </w:pP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spacing w:after="0"/>
            </w:pPr>
            <w:r>
              <w:t>Dynamics:</w:t>
            </w:r>
          </w:p>
          <w:p w:rsidR="00F53495" w:rsidRDefault="00F53495" w:rsidP="0047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Types of forces (normal, tension), force diagram (Free-body diagram - FBD), Newton’s Laws, Friction, </w:t>
            </w:r>
            <w:r>
              <w:rPr>
                <w:color w:val="000000"/>
              </w:rPr>
              <w:br/>
              <w:t>Law of Universal Gravitation, gravitational field, astronomy applications</w:t>
            </w:r>
          </w:p>
          <w:p w:rsidR="00F53495" w:rsidRDefault="00F53495" w:rsidP="0047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t>Honors: 2D dynamics: resolving forces, inclined planes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weeks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Marking Period 2</w:t>
            </w:r>
          </w:p>
          <w:p w:rsidR="00F53495" w:rsidRDefault="00F53495" w:rsidP="004745E0">
            <w:pPr>
              <w:spacing w:after="0"/>
              <w:rPr>
                <w:sz w:val="24"/>
                <w:szCs w:val="24"/>
              </w:rPr>
            </w:pP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spacing w:after="0"/>
              <w:ind w:left="-14"/>
            </w:pPr>
            <w:r>
              <w:lastRenderedPageBreak/>
              <w:t>Circular Motion &amp; Rotational Motion:</w:t>
            </w:r>
          </w:p>
          <w:p w:rsidR="00F53495" w:rsidRDefault="00F53495" w:rsidP="004745E0">
            <w:r>
              <w:t xml:space="preserve">Circular motion, Astronomy (Kepler, Newton), </w:t>
            </w:r>
            <w:r>
              <w:br/>
              <w:t>Angular motion, Torque, Moment of Inertia, Center of Mass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Honors Physics only</w:t>
            </w:r>
            <w:r>
              <w:rPr>
                <w:sz w:val="24"/>
                <w:szCs w:val="24"/>
              </w:rPr>
              <w:br/>
              <w:t>(optional)</w:t>
            </w:r>
          </w:p>
          <w:p w:rsidR="00F53495" w:rsidRDefault="00F53495" w:rsidP="004745E0">
            <w:pPr>
              <w:spacing w:after="0"/>
              <w:rPr>
                <w:sz w:val="24"/>
                <w:szCs w:val="24"/>
              </w:rPr>
            </w:pP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spacing w:after="0"/>
              <w:ind w:left="-14"/>
            </w:pPr>
            <w:r>
              <w:t>Impulse &amp; Momentum:</w:t>
            </w:r>
          </w:p>
          <w:p w:rsidR="00F53495" w:rsidRDefault="00F53495" w:rsidP="004745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Momentum, impulse, Conservation of momentum (1D), bar charts 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weeks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spacing w:after="0"/>
              <w:ind w:left="-14"/>
            </w:pPr>
            <w:r>
              <w:t>Work &amp; Energy:</w:t>
            </w:r>
          </w:p>
          <w:p w:rsidR="00F53495" w:rsidRDefault="00F53495" w:rsidP="004745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t>KE, work-energy theorem, PE, energy bar charts,</w:t>
            </w:r>
            <w:r>
              <w:rPr>
                <w:color w:val="000000"/>
              </w:rPr>
              <w:br/>
              <w:t>Harmonic motion, springs (Hooke’s Law), pendulums,</w:t>
            </w:r>
            <w:r>
              <w:rPr>
                <w:color w:val="000000"/>
              </w:rPr>
              <w:br/>
              <w:t>Conservation of energy, Power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weeks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Marking Period 3</w:t>
            </w: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spacing w:after="0"/>
              <w:ind w:left="-14"/>
            </w:pPr>
            <w:r>
              <w:t>Electricity:</w:t>
            </w:r>
          </w:p>
          <w:p w:rsidR="00F53495" w:rsidRDefault="00F53495" w:rsidP="00F534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contextualSpacing/>
              <w:rPr>
                <w:color w:val="000000"/>
              </w:rPr>
            </w:pPr>
            <w:r>
              <w:rPr>
                <w:color w:val="000000"/>
              </w:rPr>
              <w:t>Electrostatics:</w:t>
            </w:r>
            <w:r>
              <w:rPr>
                <w:color w:val="000000"/>
              </w:rPr>
              <w:br/>
              <w:t>Electric force, Coulomb’s Law, Electric fields, Electric potential difference (voltage)</w:t>
            </w:r>
          </w:p>
          <w:p w:rsidR="00F53495" w:rsidRDefault="00F53495" w:rsidP="00F534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contextualSpacing/>
              <w:rPr>
                <w:color w:val="000000"/>
              </w:rPr>
            </w:pPr>
            <w:r>
              <w:rPr>
                <w:color w:val="000000"/>
              </w:rPr>
              <w:t>Circuits (if time):</w:t>
            </w:r>
            <w:r>
              <w:rPr>
                <w:color w:val="000000"/>
              </w:rPr>
              <w:br/>
              <w:t>Ohm’s Law, resistance, current, voltage, schematics, Circuits (series &amp; parallel), Combined circuits, safety devices, Power &amp; appliances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weeks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spacing w:after="0"/>
              <w:ind w:left="-14"/>
            </w:pPr>
            <w:r>
              <w:t>Magnetism:</w:t>
            </w:r>
          </w:p>
          <w:p w:rsidR="00F53495" w:rsidRDefault="00F53495" w:rsidP="004745E0">
            <w:r>
              <w:t xml:space="preserve">Magnetic fields, Electromagnets, Magnetic force (wires &amp; particles), </w:t>
            </w:r>
            <w:proofErr w:type="spellStart"/>
            <w:r>
              <w:t>Righthand</w:t>
            </w:r>
            <w:proofErr w:type="spellEnd"/>
            <w:r>
              <w:t xml:space="preserve"> rules, Electromagnetic induction, motors &amp; generators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weeks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Marking Period 4</w:t>
            </w: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spacing w:after="0"/>
              <w:ind w:left="-14"/>
            </w:pPr>
            <w:r>
              <w:t>Waves, Sound, Light:</w:t>
            </w:r>
          </w:p>
          <w:p w:rsidR="00F53495" w:rsidRDefault="00F53495" w:rsidP="004745E0">
            <w:pPr>
              <w:spacing w:after="0"/>
            </w:pPr>
            <w:r>
              <w:t xml:space="preserve">Wave characteristics &amp; behavior, resonance, standing waves, sound, Doppler effect, light behavior, color, reflection, </w:t>
            </w:r>
            <w:r>
              <w:lastRenderedPageBreak/>
              <w:t>refraction, mirrors (plane &amp; curved), lenses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weeks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53495" w:rsidTr="004745E0">
        <w:trPr>
          <w:trHeight w:val="720"/>
          <w:jc w:val="center"/>
        </w:trPr>
        <w:tc>
          <w:tcPr>
            <w:tcW w:w="3060" w:type="dxa"/>
            <w:vAlign w:val="center"/>
          </w:tcPr>
          <w:p w:rsidR="00F53495" w:rsidRDefault="00F53495" w:rsidP="004745E0">
            <w:pPr>
              <w:spacing w:after="0"/>
              <w:ind w:left="-14"/>
            </w:pPr>
            <w:r>
              <w:lastRenderedPageBreak/>
              <w:t>Global Challenge:</w:t>
            </w:r>
          </w:p>
          <w:p w:rsidR="00F53495" w:rsidRDefault="00F53495" w:rsidP="004745E0">
            <w:pPr>
              <w:spacing w:after="0"/>
              <w:ind w:left="-18"/>
            </w:pPr>
            <w:r>
              <w:t>Option: See cost of appliance activity in Electricity unit, part B.</w:t>
            </w:r>
          </w:p>
        </w:tc>
        <w:tc>
          <w:tcPr>
            <w:tcW w:w="3889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week</w:t>
            </w:r>
          </w:p>
        </w:tc>
        <w:tc>
          <w:tcPr>
            <w:tcW w:w="3671" w:type="dxa"/>
            <w:vAlign w:val="center"/>
          </w:tcPr>
          <w:p w:rsidR="00F53495" w:rsidRDefault="00F53495" w:rsidP="004745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Marking Period 3 or 4</w:t>
            </w:r>
          </w:p>
          <w:p w:rsidR="00F53495" w:rsidRDefault="00F53495" w:rsidP="004745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Possible timing: Integrate into appropriate unit; end of year</w:t>
            </w:r>
          </w:p>
        </w:tc>
      </w:tr>
    </w:tbl>
    <w:p w:rsidR="00F53495" w:rsidRDefault="00F53495" w:rsidP="00F53495">
      <w:pPr>
        <w:pStyle w:val="Title"/>
        <w:spacing w:before="0" w:after="0" w:line="240" w:lineRule="auto"/>
        <w:rPr>
          <w:rFonts w:ascii="Calibri" w:eastAsia="Calibri" w:hAnsi="Calibri" w:cs="Calibri"/>
          <w:b w:val="0"/>
          <w:sz w:val="16"/>
          <w:szCs w:val="16"/>
        </w:rPr>
      </w:pPr>
      <w:bookmarkStart w:id="0" w:name="_GoBack"/>
      <w:bookmarkEnd w:id="0"/>
    </w:p>
    <w:sectPr w:rsidR="00F5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DDA"/>
    <w:multiLevelType w:val="multilevel"/>
    <w:tmpl w:val="79F07C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33A28F9"/>
    <w:multiLevelType w:val="multilevel"/>
    <w:tmpl w:val="49FCB39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7F147BB8"/>
    <w:multiLevelType w:val="multilevel"/>
    <w:tmpl w:val="183E5C2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95"/>
    <w:rsid w:val="003907D5"/>
    <w:rsid w:val="003E1263"/>
    <w:rsid w:val="00585D86"/>
    <w:rsid w:val="00AC6B70"/>
    <w:rsid w:val="00F53495"/>
    <w:rsid w:val="00FA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2BF4-DFC4-469F-9631-2390D831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3495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F53495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3495"/>
    <w:rPr>
      <w:rFonts w:ascii="Cambria" w:eastAsia="Cambria" w:hAnsi="Cambria" w:cs="Cambri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: TAMI</dc:creator>
  <cp:keywords/>
  <dc:description/>
  <cp:lastModifiedBy>SEAMAN : TAMI</cp:lastModifiedBy>
  <cp:revision>1</cp:revision>
  <dcterms:created xsi:type="dcterms:W3CDTF">2020-09-03T19:46:00Z</dcterms:created>
  <dcterms:modified xsi:type="dcterms:W3CDTF">2020-09-03T19:47:00Z</dcterms:modified>
</cp:coreProperties>
</file>